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4" w:rsidRDefault="00B15B44">
      <w:pPr>
        <w:pStyle w:val="ConsPlusTitle"/>
        <w:jc w:val="center"/>
        <w:outlineLvl w:val="0"/>
      </w:pPr>
      <w:bookmarkStart w:id="0" w:name="_GoBack"/>
      <w:bookmarkEnd w:id="0"/>
      <w:r>
        <w:t>VIII. Критерии доступности и качества медицинской помощи</w:t>
      </w:r>
    </w:p>
    <w:p w:rsidR="00B15B44" w:rsidRDefault="00B15B44">
      <w:pPr>
        <w:pStyle w:val="ConsPlusNormal"/>
        <w:ind w:firstLine="540"/>
        <w:jc w:val="both"/>
      </w:pPr>
    </w:p>
    <w:p w:rsidR="00B15B44" w:rsidRDefault="00B15B44">
      <w:pPr>
        <w:pStyle w:val="ConsPlusNormal"/>
        <w:ind w:firstLine="540"/>
        <w:jc w:val="both"/>
      </w:pPr>
      <w:r>
        <w:t>Критериями доступности медицинской помощи являются: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доля граждан, обеспеченных лекарственными препаратами, в общем количестве льготных категорий граждан.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Критериями качества медицинской помощи являются: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lastRenderedPageBreak/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количество случаев госпитализации с диагнозом "бронхиальная астма" на 100 тыс. населения в год;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количество случаев госпитализации с диагнозом "хроническая обструктивная болезнь легких" на 100 тыс. населения;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количество случаев госпитализации с диагнозом "хроническая сердечная недостаточность" на 100 тыс. населения в год;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количество случаев госпитализации с диагнозом "гипертоническая болезнь" на 100 тыс. населения в год;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количество случаев госпитализации с диагнозом "сахарный диабет" на 100 тыс. населения в год;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количество пациентов с гепатитом C, получивших противовирусную терапию, на 100 тыс. населения в год;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диагноза.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 xml:space="preserve"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4" w:history="1">
        <w:r>
          <w:rPr>
            <w:color w:val="0000FF"/>
          </w:rPr>
          <w:t>"Здравоохранение"</w:t>
        </w:r>
      </w:hyperlink>
      <w:r>
        <w:t xml:space="preserve"> и </w:t>
      </w:r>
      <w:hyperlink r:id="rId5" w:history="1">
        <w:r>
          <w:rPr>
            <w:color w:val="0000FF"/>
          </w:rPr>
          <w:t>"Демография"</w:t>
        </w:r>
      </w:hyperlink>
      <w:r>
        <w:t>.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 xml:space="preserve">Оценка достижения критериев доступности и качества медицинской помощи осуществляется </w:t>
      </w:r>
      <w:r>
        <w:lastRenderedPageBreak/>
        <w:t>субъектами Российской Федерации 1 раз в полгода с направлением соответствующих данных в Министерство здравоохранения Российской Федерации.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Критериями доступности медицинской помощи, оказываемой федеральными медицинскими организациями, являются: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доля объема специализированной, в том числе высокотехнологичной, медицинской помощи с коэффициентом относительной затратоемкости, равным 2 и более, в объеме оказанной специализированной, в том числе высокотехнологичной, медицинской помощи (в 2023 году - не менее 60 процентов, в 2024 и 2025 годах - не менее 70 процентов);</w:t>
      </w:r>
    </w:p>
    <w:p w:rsidR="00B15B44" w:rsidRDefault="00B15B44">
      <w:pPr>
        <w:pStyle w:val="ConsPlusNormal"/>
        <w:spacing w:before="200"/>
        <w:ind w:firstLine="540"/>
        <w:jc w:val="both"/>
      </w:pPr>
      <w:r>
        <w:t>доля доходов за счет средств обязательного медицинского страхования в общем объеме доходов федеральной медицинской организации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B15B44" w:rsidRDefault="00B15B44">
      <w:pPr>
        <w:pStyle w:val="ConsPlusNormal"/>
        <w:ind w:firstLine="540"/>
        <w:jc w:val="both"/>
      </w:pPr>
    </w:p>
    <w:p w:rsidR="00B15B44" w:rsidRDefault="00B15B44">
      <w:pPr>
        <w:pStyle w:val="ConsPlusNormal"/>
        <w:ind w:firstLine="540"/>
        <w:jc w:val="both"/>
      </w:pPr>
    </w:p>
    <w:p w:rsidR="00B15B44" w:rsidRDefault="00B15B44">
      <w:pPr>
        <w:pStyle w:val="ConsPlusNormal"/>
        <w:ind w:firstLine="540"/>
        <w:jc w:val="both"/>
      </w:pPr>
    </w:p>
    <w:p w:rsidR="00B15B44" w:rsidRDefault="00B15B44">
      <w:pPr>
        <w:pStyle w:val="ConsPlusNormal"/>
        <w:ind w:firstLine="540"/>
        <w:jc w:val="both"/>
      </w:pPr>
    </w:p>
    <w:p w:rsidR="00B15B44" w:rsidRDefault="00B15B44">
      <w:pPr>
        <w:pStyle w:val="ConsPlusNormal"/>
        <w:jc w:val="both"/>
      </w:pPr>
    </w:p>
    <w:p w:rsidR="00B15B44" w:rsidRDefault="00B15B44">
      <w:pPr>
        <w:pStyle w:val="ConsPlusNormal"/>
      </w:pPr>
      <w:hyperlink r:id="rId6" w:history="1">
        <w:r>
          <w:rPr>
            <w:i/>
            <w:iCs/>
            <w:color w:val="0000FF"/>
          </w:rPr>
          <w:br/>
          <w:t>Постановление Правительства РФ от 29.12.2022 N 2497 "О Программе государственных гарантий бесплатного оказания гражданам медицинской помощи на 2023 год и на плановый период 2024 и 2025 годов" {КонсультантПлюс}</w:t>
        </w:r>
      </w:hyperlink>
      <w:r>
        <w:br/>
      </w:r>
    </w:p>
    <w:sectPr w:rsidR="00B15B4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5A"/>
    <w:rsid w:val="000C005A"/>
    <w:rsid w:val="00530844"/>
    <w:rsid w:val="0070694E"/>
    <w:rsid w:val="00B1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62506B-21AA-4E7C-B6B4-BD4C7423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6688&amp;date=01.12.2023&amp;dst=100348&amp;field=134" TargetMode="External"/><Relationship Id="rId5" Type="http://schemas.openxmlformats.org/officeDocument/2006/relationships/hyperlink" Target="https://login.consultant.ru/link/?req=doc&amp;base=LAW&amp;n=384857&amp;date=01.12.2023" TargetMode="External"/><Relationship Id="rId4" Type="http://schemas.openxmlformats.org/officeDocument/2006/relationships/hyperlink" Target="https://login.consultant.ru/link/?req=doc&amp;base=LAW&amp;n=319209&amp;date=01.1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6933</Characters>
  <Application>Microsoft Office Word</Application>
  <DocSecurity>2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29.12.2022 N 2497"О Программе государственных гарантий бесплатного оказания гражданам медицинской помощи на 2023 год и на плановый период 2024 и 2025 годов"</vt:lpstr>
    </vt:vector>
  </TitlesOfParts>
  <Company>КонсультантПлюс Версия 4023.00.09</Company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29.12.2022 N 2497"О Программе государственных гарантий бесплатного оказания гражданам медицинской помощи на 2023 год и на плановый период 2024 и 2025 годов"</dc:title>
  <dc:subject/>
  <dc:creator>Мария Александрова</dc:creator>
  <cp:keywords/>
  <dc:description/>
  <cp:lastModifiedBy>GV</cp:lastModifiedBy>
  <cp:revision>2</cp:revision>
  <dcterms:created xsi:type="dcterms:W3CDTF">2024-02-20T11:45:00Z</dcterms:created>
  <dcterms:modified xsi:type="dcterms:W3CDTF">2024-02-20T11:45:00Z</dcterms:modified>
</cp:coreProperties>
</file>